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5A" w:rsidRDefault="009C2C5A" w:rsidP="00F93303">
      <w:pPr>
        <w:spacing w:after="0"/>
        <w:jc w:val="center"/>
        <w:rPr>
          <w:rFonts w:ascii="Times New Roman" w:hAnsi="Times New Roman"/>
          <w:b/>
          <w:sz w:val="24"/>
          <w:szCs w:val="24"/>
        </w:rPr>
      </w:pPr>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Default="009C2C5A" w:rsidP="00315135">
      <w:pPr>
        <w:spacing w:after="0"/>
        <w:jc w:val="both"/>
        <w:rPr>
          <w:rFonts w:ascii="Times New Roman" w:hAnsi="Times New Roman"/>
          <w:sz w:val="24"/>
          <w:szCs w:val="24"/>
        </w:rPr>
      </w:pPr>
      <w:r>
        <w:rPr>
          <w:rFonts w:ascii="Times New Roman" w:hAnsi="Times New Roman"/>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w:t>
      </w:r>
      <w:r w:rsidRPr="00315135">
        <w:rPr>
          <w:rFonts w:ascii="Times New Roman" w:hAnsi="Times New Roman"/>
          <w:sz w:val="24"/>
          <w:szCs w:val="24"/>
        </w:rPr>
        <w:lastRenderedPageBreak/>
        <w:t>спорам в трехмесячный срок со дня, когда он узнал или должен был узнать о нарушении своего права.</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13. </w:t>
      </w:r>
      <w:proofErr w:type="gramStart"/>
      <w:r w:rsidRPr="00315135">
        <w:rPr>
          <w:rFonts w:ascii="Times New Roman" w:hAnsi="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315135">
        <w:rPr>
          <w:rFonts w:ascii="Times New Roman" w:hAnsi="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315135">
      <w:pPr>
        <w:spacing w:after="0"/>
        <w:jc w:val="both"/>
        <w:rPr>
          <w:rFonts w:ascii="Times New Roman" w:hAnsi="Times New Roman"/>
          <w:sz w:val="24"/>
          <w:szCs w:val="24"/>
        </w:rPr>
      </w:pPr>
      <w:proofErr w:type="gramStart"/>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315135">
        <w:rPr>
          <w:rFonts w:ascii="Times New Roman" w:hAnsi="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lastRenderedPageBreak/>
        <w:t xml:space="preserve">16. </w:t>
      </w:r>
      <w:proofErr w:type="gramStart"/>
      <w:r w:rsidRPr="00315135">
        <w:rPr>
          <w:rFonts w:ascii="Times New Roman" w:hAnsi="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315135">
        <w:rPr>
          <w:rFonts w:ascii="Times New Roman" w:hAnsi="Times New Roman"/>
          <w:sz w:val="24"/>
          <w:szCs w:val="24"/>
        </w:rPr>
        <w:t xml:space="preserve"> причиненного ему морального вреда. Размер возмещения определяется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17. </w:t>
      </w:r>
      <w:proofErr w:type="gramStart"/>
      <w:r w:rsidRPr="00315135">
        <w:rPr>
          <w:rFonts w:ascii="Times New Roman" w:hAnsi="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315135">
        <w:rPr>
          <w:rFonts w:ascii="Times New Roman" w:hAnsi="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36390"/>
    <w:rsid w:val="00466A61"/>
    <w:rsid w:val="00473F0A"/>
    <w:rsid w:val="004C5A34"/>
    <w:rsid w:val="005046AD"/>
    <w:rsid w:val="00546A12"/>
    <w:rsid w:val="00554840"/>
    <w:rsid w:val="005556C5"/>
    <w:rsid w:val="00681B4B"/>
    <w:rsid w:val="007C1310"/>
    <w:rsid w:val="00891F3A"/>
    <w:rsid w:val="00902B4D"/>
    <w:rsid w:val="00916754"/>
    <w:rsid w:val="00971281"/>
    <w:rsid w:val="009839E1"/>
    <w:rsid w:val="009C2C5A"/>
    <w:rsid w:val="00A17C5C"/>
    <w:rsid w:val="00A57B9D"/>
    <w:rsid w:val="00AA1E88"/>
    <w:rsid w:val="00AC4D05"/>
    <w:rsid w:val="00B1409D"/>
    <w:rsid w:val="00C04096"/>
    <w:rsid w:val="00D56E69"/>
    <w:rsid w:val="00E6636E"/>
    <w:rsid w:val="00ED067D"/>
    <w:rsid w:val="00F81D80"/>
    <w:rsid w:val="00F93303"/>
    <w:rsid w:val="00FC2AE5"/>
    <w:rsid w:val="00FD5F3D"/>
    <w:rsid w:val="00FF2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5910</Characters>
  <Application>Microsoft Office Word</Application>
  <DocSecurity>0</DocSecurity>
  <Lines>49</Lines>
  <Paragraphs>13</Paragraphs>
  <ScaleCrop>false</ScaleCrop>
  <Company>Rosstat</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Юрьевна</dc:creator>
  <cp:keywords/>
  <dc:description/>
  <cp:lastModifiedBy>p54_KhokhryakovaNV</cp:lastModifiedBy>
  <cp:revision>4</cp:revision>
  <cp:lastPrinted>2018-06-09T14:01:00Z</cp:lastPrinted>
  <dcterms:created xsi:type="dcterms:W3CDTF">2018-06-13T12:45:00Z</dcterms:created>
  <dcterms:modified xsi:type="dcterms:W3CDTF">2018-09-11T03:36:00Z</dcterms:modified>
</cp:coreProperties>
</file>